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0BC" w:rsidRPr="00EA5988" w:rsidRDefault="00735489" w:rsidP="00EA5988">
      <w:pPr>
        <w:jc w:val="center"/>
        <w:rPr>
          <w:b/>
        </w:rPr>
      </w:pPr>
      <w:r w:rsidRPr="00EA5988">
        <w:rPr>
          <w:b/>
        </w:rPr>
        <w:t>AO Trauma Seminar : Complications and Complex Fractures</w:t>
      </w:r>
    </w:p>
    <w:p w:rsidR="00735489" w:rsidRDefault="00735489">
      <w:r>
        <w:t>Time: 107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28</w:t>
      </w:r>
      <w:r>
        <w:rPr>
          <w:rFonts w:hint="eastAsia"/>
        </w:rPr>
        <w:t>日</w:t>
      </w:r>
      <w:r>
        <w:rPr>
          <w:rFonts w:hint="eastAsia"/>
        </w:rPr>
        <w:t xml:space="preserve"> (</w:t>
      </w:r>
      <w:r>
        <w:rPr>
          <w:rFonts w:hint="eastAsia"/>
        </w:rPr>
        <w:t>六</w:t>
      </w:r>
      <w:r>
        <w:rPr>
          <w:rFonts w:hint="eastAsia"/>
        </w:rPr>
        <w:t xml:space="preserve">) </w:t>
      </w:r>
      <w:r>
        <w:rPr>
          <w:rFonts w:hint="eastAsia"/>
        </w:rPr>
        <w:t>上午</w:t>
      </w:r>
      <w:r>
        <w:rPr>
          <w:rFonts w:hint="eastAsia"/>
        </w:rPr>
        <w:t>8:30~17:00</w:t>
      </w:r>
    </w:p>
    <w:p w:rsidR="00735489" w:rsidRDefault="00735489">
      <w:r>
        <w:rPr>
          <w:rFonts w:hint="eastAsia"/>
        </w:rPr>
        <w:t xml:space="preserve">Place: </w:t>
      </w:r>
      <w:r>
        <w:rPr>
          <w:rFonts w:hint="eastAsia"/>
        </w:rPr>
        <w:t>新光醫院</w:t>
      </w:r>
      <w:r>
        <w:rPr>
          <w:rFonts w:hint="eastAsia"/>
        </w:rPr>
        <w:t>B1</w:t>
      </w:r>
      <w:r>
        <w:rPr>
          <w:rFonts w:hint="eastAsia"/>
        </w:rPr>
        <w:t>大會議室</w:t>
      </w:r>
      <w:r>
        <w:rPr>
          <w:rFonts w:hint="eastAsia"/>
        </w:rPr>
        <w:t xml:space="preserve"> (</w:t>
      </w:r>
      <w:r>
        <w:rPr>
          <w:rFonts w:hint="eastAsia"/>
        </w:rPr>
        <w:t>台北市士林區文昌路</w:t>
      </w:r>
      <w:r>
        <w:rPr>
          <w:rFonts w:hint="eastAsia"/>
        </w:rPr>
        <w:t>95</w:t>
      </w:r>
      <w:r>
        <w:rPr>
          <w:rFonts w:hint="eastAsia"/>
        </w:rPr>
        <w:t>號</w:t>
      </w:r>
      <w:r>
        <w:rPr>
          <w:rFonts w:hint="eastAsia"/>
        </w:rPr>
        <w:t>)</w:t>
      </w:r>
    </w:p>
    <w:tbl>
      <w:tblPr>
        <w:tblStyle w:val="a3"/>
        <w:tblpPr w:leftFromText="180" w:rightFromText="180" w:vertAnchor="text" w:tblpY="173"/>
        <w:tblW w:w="10031" w:type="dxa"/>
        <w:tblLook w:val="04A0"/>
      </w:tblPr>
      <w:tblGrid>
        <w:gridCol w:w="1384"/>
        <w:gridCol w:w="5103"/>
        <w:gridCol w:w="3544"/>
      </w:tblGrid>
      <w:tr w:rsidR="00EA5988" w:rsidTr="00EA5988">
        <w:tc>
          <w:tcPr>
            <w:tcW w:w="1384" w:type="dxa"/>
          </w:tcPr>
          <w:p w:rsidR="00EA5988" w:rsidRPr="00A33B40" w:rsidRDefault="00EA5988" w:rsidP="00EA5988">
            <w:pPr>
              <w:spacing w:line="300" w:lineRule="exact"/>
              <w:rPr>
                <w:b/>
                <w:color w:val="000000" w:themeColor="text1"/>
              </w:rPr>
            </w:pPr>
            <w:r w:rsidRPr="00A33B40">
              <w:rPr>
                <w:rFonts w:hint="eastAsia"/>
                <w:b/>
                <w:color w:val="000000" w:themeColor="text1"/>
              </w:rPr>
              <w:t>時間</w:t>
            </w:r>
          </w:p>
        </w:tc>
        <w:tc>
          <w:tcPr>
            <w:tcW w:w="5103" w:type="dxa"/>
          </w:tcPr>
          <w:p w:rsidR="00EA5988" w:rsidRPr="00A33B40" w:rsidRDefault="00EA5988" w:rsidP="00EA5988">
            <w:pPr>
              <w:spacing w:line="300" w:lineRule="exact"/>
              <w:rPr>
                <w:b/>
                <w:color w:val="000000" w:themeColor="text1"/>
              </w:rPr>
            </w:pPr>
            <w:r w:rsidRPr="00A33B40">
              <w:rPr>
                <w:rFonts w:hint="eastAsia"/>
                <w:b/>
                <w:color w:val="000000" w:themeColor="text1"/>
              </w:rPr>
              <w:t>Topic</w:t>
            </w:r>
          </w:p>
        </w:tc>
        <w:tc>
          <w:tcPr>
            <w:tcW w:w="3544" w:type="dxa"/>
          </w:tcPr>
          <w:p w:rsidR="00EA5988" w:rsidRPr="00A33B40" w:rsidRDefault="00EA5988" w:rsidP="00EA5988">
            <w:pPr>
              <w:spacing w:line="300" w:lineRule="exact"/>
              <w:rPr>
                <w:b/>
                <w:color w:val="000000" w:themeColor="text1"/>
              </w:rPr>
            </w:pPr>
            <w:r w:rsidRPr="00A33B40">
              <w:rPr>
                <w:rFonts w:hint="eastAsia"/>
                <w:b/>
                <w:color w:val="000000" w:themeColor="text1"/>
              </w:rPr>
              <w:t xml:space="preserve"> Speaker</w:t>
            </w:r>
          </w:p>
        </w:tc>
      </w:tr>
      <w:tr w:rsidR="00EA5988" w:rsidTr="00EA5988">
        <w:tc>
          <w:tcPr>
            <w:tcW w:w="1384" w:type="dxa"/>
          </w:tcPr>
          <w:p w:rsidR="00EA5988" w:rsidRDefault="00EA5988" w:rsidP="00EA5988">
            <w:pPr>
              <w:spacing w:line="300" w:lineRule="exact"/>
            </w:pPr>
            <w:r>
              <w:rPr>
                <w:rFonts w:hint="eastAsia"/>
              </w:rPr>
              <w:t>0830-0900</w:t>
            </w:r>
          </w:p>
        </w:tc>
        <w:tc>
          <w:tcPr>
            <w:tcW w:w="5103" w:type="dxa"/>
          </w:tcPr>
          <w:p w:rsidR="00EA5988" w:rsidRDefault="00EA5988" w:rsidP="00EA5988">
            <w:pPr>
              <w:spacing w:line="300" w:lineRule="exact"/>
            </w:pPr>
            <w:r>
              <w:rPr>
                <w:rFonts w:hint="eastAsia"/>
              </w:rPr>
              <w:t>Registration</w:t>
            </w:r>
          </w:p>
        </w:tc>
        <w:tc>
          <w:tcPr>
            <w:tcW w:w="3544" w:type="dxa"/>
          </w:tcPr>
          <w:p w:rsidR="00EA5988" w:rsidRDefault="00EA5988" w:rsidP="00EA5988">
            <w:pPr>
              <w:spacing w:line="300" w:lineRule="exact"/>
            </w:pPr>
          </w:p>
        </w:tc>
      </w:tr>
      <w:tr w:rsidR="00EA5988" w:rsidTr="00EA5988">
        <w:tc>
          <w:tcPr>
            <w:tcW w:w="1384" w:type="dxa"/>
          </w:tcPr>
          <w:p w:rsidR="00EA5988" w:rsidRDefault="00EA5988" w:rsidP="00EA5988">
            <w:pPr>
              <w:spacing w:line="300" w:lineRule="exact"/>
            </w:pPr>
            <w:r>
              <w:rPr>
                <w:rFonts w:hint="eastAsia"/>
              </w:rPr>
              <w:t>0900-0910</w:t>
            </w:r>
          </w:p>
        </w:tc>
        <w:tc>
          <w:tcPr>
            <w:tcW w:w="5103" w:type="dxa"/>
          </w:tcPr>
          <w:p w:rsidR="00EA5988" w:rsidRDefault="00EA5988" w:rsidP="00EA5988">
            <w:pPr>
              <w:spacing w:line="300" w:lineRule="exact"/>
            </w:pPr>
            <w:r>
              <w:rPr>
                <w:rFonts w:hint="eastAsia"/>
              </w:rPr>
              <w:t xml:space="preserve">Opening </w:t>
            </w:r>
          </w:p>
        </w:tc>
        <w:tc>
          <w:tcPr>
            <w:tcW w:w="3544" w:type="dxa"/>
          </w:tcPr>
          <w:p w:rsidR="00EA5988" w:rsidRDefault="00EA5988" w:rsidP="00EA5988">
            <w:pPr>
              <w:spacing w:line="300" w:lineRule="exact"/>
            </w:pPr>
            <w:r>
              <w:rPr>
                <w:rFonts w:hint="eastAsia"/>
              </w:rPr>
              <w:t>侯勝茂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院長</w:t>
            </w:r>
            <w:r>
              <w:rPr>
                <w:rFonts w:hint="eastAsia"/>
              </w:rPr>
              <w:t xml:space="preserve"> / </w:t>
            </w:r>
            <w:r>
              <w:rPr>
                <w:rFonts w:hint="eastAsia"/>
              </w:rPr>
              <w:t>陳英和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理事長</w:t>
            </w:r>
          </w:p>
        </w:tc>
      </w:tr>
      <w:tr w:rsidR="00EA5988" w:rsidTr="00EA5988">
        <w:tc>
          <w:tcPr>
            <w:tcW w:w="10031" w:type="dxa"/>
            <w:gridSpan w:val="3"/>
          </w:tcPr>
          <w:p w:rsidR="00EA5988" w:rsidRPr="00735489" w:rsidRDefault="00EA5988" w:rsidP="00EA5988">
            <w:pPr>
              <w:spacing w:line="300" w:lineRule="exact"/>
              <w:jc w:val="center"/>
              <w:rPr>
                <w:b/>
                <w:color w:val="FF0000"/>
              </w:rPr>
            </w:pPr>
            <w:r w:rsidRPr="00735489">
              <w:rPr>
                <w:rFonts w:hint="eastAsia"/>
                <w:b/>
                <w:color w:val="FF0000"/>
              </w:rPr>
              <w:t>Session 1: Nonunion, infection and Malunion</w:t>
            </w:r>
          </w:p>
        </w:tc>
      </w:tr>
      <w:tr w:rsidR="00EA5988" w:rsidTr="00EA5988">
        <w:tc>
          <w:tcPr>
            <w:tcW w:w="1384" w:type="dxa"/>
          </w:tcPr>
          <w:p w:rsidR="00EA5988" w:rsidRDefault="00EA5988" w:rsidP="00EA5988">
            <w:pPr>
              <w:spacing w:line="300" w:lineRule="exact"/>
            </w:pPr>
            <w:r>
              <w:rPr>
                <w:rFonts w:hint="eastAsia"/>
              </w:rPr>
              <w:t>0910-0930</w:t>
            </w:r>
          </w:p>
        </w:tc>
        <w:tc>
          <w:tcPr>
            <w:tcW w:w="5103" w:type="dxa"/>
          </w:tcPr>
          <w:p w:rsidR="00EA5988" w:rsidRDefault="00EA5988" w:rsidP="00EA5988">
            <w:pPr>
              <w:spacing w:line="300" w:lineRule="exact"/>
            </w:pPr>
            <w:r>
              <w:rPr>
                <w:rFonts w:hint="eastAsia"/>
              </w:rPr>
              <w:t>Malunion management</w:t>
            </w:r>
          </w:p>
        </w:tc>
        <w:tc>
          <w:tcPr>
            <w:tcW w:w="3544" w:type="dxa"/>
          </w:tcPr>
          <w:p w:rsidR="00EA5988" w:rsidRDefault="00EA5988" w:rsidP="00EA5988">
            <w:pPr>
              <w:spacing w:line="300" w:lineRule="exact"/>
            </w:pPr>
            <w:r>
              <w:rPr>
                <w:rFonts w:hint="eastAsia"/>
              </w:rPr>
              <w:t>馬景侯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主任</w:t>
            </w:r>
          </w:p>
        </w:tc>
      </w:tr>
      <w:tr w:rsidR="00EA5988" w:rsidTr="00EA5988">
        <w:tc>
          <w:tcPr>
            <w:tcW w:w="1384" w:type="dxa"/>
          </w:tcPr>
          <w:p w:rsidR="00EA5988" w:rsidRDefault="00EA5988" w:rsidP="00EA5988">
            <w:pPr>
              <w:spacing w:line="300" w:lineRule="exact"/>
            </w:pPr>
            <w:r>
              <w:rPr>
                <w:rFonts w:hint="eastAsia"/>
              </w:rPr>
              <w:t>0930-0950</w:t>
            </w:r>
          </w:p>
        </w:tc>
        <w:tc>
          <w:tcPr>
            <w:tcW w:w="5103" w:type="dxa"/>
          </w:tcPr>
          <w:p w:rsidR="00EA5988" w:rsidRDefault="00EA5988" w:rsidP="00EA5988">
            <w:pPr>
              <w:spacing w:line="300" w:lineRule="exact"/>
            </w:pPr>
            <w:r>
              <w:rPr>
                <w:rFonts w:hint="eastAsia"/>
              </w:rPr>
              <w:t>Hypertrophic nonunion &amp; Atrophic nonunion</w:t>
            </w:r>
          </w:p>
        </w:tc>
        <w:tc>
          <w:tcPr>
            <w:tcW w:w="3544" w:type="dxa"/>
          </w:tcPr>
          <w:p w:rsidR="00EA5988" w:rsidRDefault="00EA5988" w:rsidP="00EA5988">
            <w:pPr>
              <w:spacing w:line="300" w:lineRule="exact"/>
            </w:pPr>
            <w:r>
              <w:rPr>
                <w:rFonts w:hint="eastAsia"/>
              </w:rPr>
              <w:t>張宗訓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醫師</w:t>
            </w:r>
          </w:p>
        </w:tc>
      </w:tr>
      <w:tr w:rsidR="00EA5988" w:rsidTr="00EA5988">
        <w:tc>
          <w:tcPr>
            <w:tcW w:w="1384" w:type="dxa"/>
          </w:tcPr>
          <w:p w:rsidR="00EA5988" w:rsidRDefault="00EA5988" w:rsidP="00EA5988">
            <w:pPr>
              <w:spacing w:line="300" w:lineRule="exact"/>
            </w:pPr>
            <w:r>
              <w:rPr>
                <w:rFonts w:hint="eastAsia"/>
              </w:rPr>
              <w:t>0950-1010</w:t>
            </w:r>
          </w:p>
        </w:tc>
        <w:tc>
          <w:tcPr>
            <w:tcW w:w="5103" w:type="dxa"/>
          </w:tcPr>
          <w:p w:rsidR="00EA5988" w:rsidRDefault="00EA5988" w:rsidP="00EA5988">
            <w:pPr>
              <w:spacing w:line="300" w:lineRule="exact"/>
            </w:pPr>
            <w:r>
              <w:rPr>
                <w:rFonts w:hint="eastAsia"/>
              </w:rPr>
              <w:t xml:space="preserve">Malunion osteotomy selection </w:t>
            </w:r>
            <w:r>
              <w:t>–</w:t>
            </w:r>
            <w:r>
              <w:rPr>
                <w:rFonts w:hint="eastAsia"/>
              </w:rPr>
              <w:t>advantages, disadvantages and 3D Priniting computer assist</w:t>
            </w:r>
          </w:p>
        </w:tc>
        <w:tc>
          <w:tcPr>
            <w:tcW w:w="3544" w:type="dxa"/>
          </w:tcPr>
          <w:p w:rsidR="00EA5988" w:rsidRDefault="00EA5988" w:rsidP="00EA5988">
            <w:pPr>
              <w:spacing w:line="300" w:lineRule="exact"/>
            </w:pPr>
            <w:r>
              <w:rPr>
                <w:rFonts w:hint="eastAsia"/>
              </w:rPr>
              <w:t>李威儀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教授</w:t>
            </w:r>
          </w:p>
        </w:tc>
      </w:tr>
      <w:tr w:rsidR="00EA5988" w:rsidTr="00EA5988">
        <w:tc>
          <w:tcPr>
            <w:tcW w:w="1384" w:type="dxa"/>
          </w:tcPr>
          <w:p w:rsidR="00EA5988" w:rsidRDefault="00EA5988" w:rsidP="00EA5988">
            <w:pPr>
              <w:spacing w:line="300" w:lineRule="exact"/>
            </w:pPr>
            <w:r>
              <w:rPr>
                <w:rFonts w:hint="eastAsia"/>
              </w:rPr>
              <w:t>1010-1030</w:t>
            </w:r>
          </w:p>
        </w:tc>
        <w:tc>
          <w:tcPr>
            <w:tcW w:w="5103" w:type="dxa"/>
          </w:tcPr>
          <w:p w:rsidR="00EA5988" w:rsidRDefault="00EA5988" w:rsidP="00EA5988">
            <w:pPr>
              <w:spacing w:line="300" w:lineRule="exact"/>
            </w:pPr>
            <w:r>
              <w:rPr>
                <w:rFonts w:hint="eastAsia"/>
              </w:rPr>
              <w:t xml:space="preserve">Illustrative cases </w:t>
            </w:r>
            <w:r>
              <w:t>–</w:t>
            </w:r>
            <w:r>
              <w:rPr>
                <w:rFonts w:hint="eastAsia"/>
              </w:rPr>
              <w:t xml:space="preserve"> Pitfalls to failed proximal femoral fixation</w:t>
            </w:r>
          </w:p>
        </w:tc>
        <w:tc>
          <w:tcPr>
            <w:tcW w:w="3544" w:type="dxa"/>
          </w:tcPr>
          <w:p w:rsidR="00EA5988" w:rsidRDefault="00EA5988" w:rsidP="00EA5988">
            <w:pPr>
              <w:spacing w:line="300" w:lineRule="exact"/>
            </w:pPr>
            <w:r>
              <w:rPr>
                <w:rFonts w:hint="eastAsia"/>
              </w:rPr>
              <w:t>危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杰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教授</w:t>
            </w:r>
          </w:p>
        </w:tc>
      </w:tr>
      <w:tr w:rsidR="00EA5988" w:rsidTr="00EA5988">
        <w:tc>
          <w:tcPr>
            <w:tcW w:w="1384" w:type="dxa"/>
          </w:tcPr>
          <w:p w:rsidR="00EA5988" w:rsidRDefault="00EA5988" w:rsidP="00EA5988">
            <w:pPr>
              <w:spacing w:line="300" w:lineRule="exact"/>
            </w:pPr>
            <w:r>
              <w:rPr>
                <w:rFonts w:hint="eastAsia"/>
              </w:rPr>
              <w:t>1030-1050</w:t>
            </w:r>
          </w:p>
        </w:tc>
        <w:tc>
          <w:tcPr>
            <w:tcW w:w="8647" w:type="dxa"/>
            <w:gridSpan w:val="2"/>
          </w:tcPr>
          <w:p w:rsidR="00EA5988" w:rsidRPr="00735489" w:rsidRDefault="00EA5988" w:rsidP="00EA5988">
            <w:pPr>
              <w:spacing w:line="300" w:lineRule="exact"/>
              <w:jc w:val="center"/>
              <w:rPr>
                <w:b/>
                <w:color w:val="0070C0"/>
              </w:rPr>
            </w:pPr>
            <w:r w:rsidRPr="00735489">
              <w:rPr>
                <w:rFonts w:hint="eastAsia"/>
                <w:b/>
                <w:color w:val="0070C0"/>
              </w:rPr>
              <w:t>Coffee Break</w:t>
            </w:r>
          </w:p>
        </w:tc>
      </w:tr>
      <w:tr w:rsidR="00EA5988" w:rsidTr="00EA5988">
        <w:tc>
          <w:tcPr>
            <w:tcW w:w="10031" w:type="dxa"/>
            <w:gridSpan w:val="3"/>
          </w:tcPr>
          <w:p w:rsidR="00EA5988" w:rsidRDefault="00EA5988" w:rsidP="00EA5988">
            <w:pPr>
              <w:spacing w:line="300" w:lineRule="exact"/>
              <w:jc w:val="center"/>
            </w:pPr>
            <w:r w:rsidRPr="00735489">
              <w:rPr>
                <w:rFonts w:hint="eastAsia"/>
                <w:b/>
                <w:color w:val="FF0000"/>
              </w:rPr>
              <w:t xml:space="preserve">Session </w:t>
            </w:r>
            <w:r>
              <w:rPr>
                <w:rFonts w:hint="eastAsia"/>
                <w:b/>
                <w:color w:val="FF0000"/>
              </w:rPr>
              <w:t>2</w:t>
            </w:r>
            <w:r w:rsidRPr="00735489">
              <w:rPr>
                <w:rFonts w:hint="eastAsia"/>
                <w:b/>
                <w:color w:val="FF0000"/>
              </w:rPr>
              <w:t xml:space="preserve">: </w:t>
            </w:r>
            <w:r>
              <w:rPr>
                <w:rFonts w:hint="eastAsia"/>
                <w:b/>
                <w:color w:val="FF0000"/>
              </w:rPr>
              <w:t>Wound problems &amp; Polytrauma</w:t>
            </w:r>
          </w:p>
        </w:tc>
      </w:tr>
      <w:tr w:rsidR="00C50B5A" w:rsidTr="00EA5988">
        <w:tc>
          <w:tcPr>
            <w:tcW w:w="138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1050-1110</w:t>
            </w:r>
          </w:p>
        </w:tc>
        <w:tc>
          <w:tcPr>
            <w:tcW w:w="5103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 xml:space="preserve">The multiple </w:t>
            </w:r>
            <w:r>
              <w:t>–</w:t>
            </w:r>
            <w:r>
              <w:rPr>
                <w:rFonts w:hint="eastAsia"/>
              </w:rPr>
              <w:t>fracture patients-What do I do and when do I stop?</w:t>
            </w:r>
          </w:p>
        </w:tc>
        <w:tc>
          <w:tcPr>
            <w:tcW w:w="354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李威儀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教授</w:t>
            </w:r>
          </w:p>
        </w:tc>
      </w:tr>
      <w:tr w:rsidR="00C50B5A" w:rsidTr="00EA5988">
        <w:tc>
          <w:tcPr>
            <w:tcW w:w="138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1110-1130</w:t>
            </w:r>
          </w:p>
        </w:tc>
        <w:tc>
          <w:tcPr>
            <w:tcW w:w="5103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How does rib flaxation influence the treatment in polytrauma?</w:t>
            </w:r>
          </w:p>
        </w:tc>
        <w:tc>
          <w:tcPr>
            <w:tcW w:w="354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唐逸文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主任</w:t>
            </w:r>
          </w:p>
        </w:tc>
      </w:tr>
      <w:tr w:rsidR="00C50B5A" w:rsidTr="00EA5988">
        <w:tc>
          <w:tcPr>
            <w:tcW w:w="138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1130-1150</w:t>
            </w:r>
          </w:p>
        </w:tc>
        <w:tc>
          <w:tcPr>
            <w:tcW w:w="5103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Complex knee injuries-priorities and decision making</w:t>
            </w:r>
          </w:p>
        </w:tc>
        <w:tc>
          <w:tcPr>
            <w:tcW w:w="354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TBD</w:t>
            </w:r>
          </w:p>
        </w:tc>
      </w:tr>
      <w:tr w:rsidR="00C50B5A" w:rsidTr="00EA5988">
        <w:tc>
          <w:tcPr>
            <w:tcW w:w="138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1150-1210</w:t>
            </w:r>
          </w:p>
        </w:tc>
        <w:tc>
          <w:tcPr>
            <w:tcW w:w="5103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Management of complex elbow instability</w:t>
            </w:r>
          </w:p>
        </w:tc>
        <w:tc>
          <w:tcPr>
            <w:tcW w:w="354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釋高上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主任</w:t>
            </w:r>
          </w:p>
        </w:tc>
      </w:tr>
      <w:tr w:rsidR="00C50B5A" w:rsidTr="00537C3A">
        <w:tc>
          <w:tcPr>
            <w:tcW w:w="1384" w:type="dxa"/>
          </w:tcPr>
          <w:p w:rsidR="00C50B5A" w:rsidRDefault="00C50B5A" w:rsidP="006B3A89">
            <w:pPr>
              <w:spacing w:line="300" w:lineRule="exact"/>
            </w:pPr>
            <w:r>
              <w:rPr>
                <w:rFonts w:hint="eastAsia"/>
              </w:rPr>
              <w:t>1210-1</w:t>
            </w:r>
            <w:r w:rsidR="006B3A89">
              <w:rPr>
                <w:rFonts w:hint="eastAsia"/>
              </w:rPr>
              <w:t>3</w:t>
            </w:r>
            <w:r>
              <w:rPr>
                <w:rFonts w:hint="eastAsia"/>
              </w:rPr>
              <w:t>30</w:t>
            </w:r>
          </w:p>
        </w:tc>
        <w:tc>
          <w:tcPr>
            <w:tcW w:w="8647" w:type="dxa"/>
            <w:gridSpan w:val="2"/>
          </w:tcPr>
          <w:p w:rsidR="00C50B5A" w:rsidRDefault="00C50B5A" w:rsidP="00C50B5A">
            <w:pPr>
              <w:spacing w:line="300" w:lineRule="exact"/>
              <w:jc w:val="center"/>
            </w:pPr>
            <w:r w:rsidRPr="00D36CFF">
              <w:rPr>
                <w:rFonts w:hint="eastAsia"/>
                <w:b/>
                <w:color w:val="0070C0"/>
              </w:rPr>
              <w:t>Lunch</w:t>
            </w:r>
          </w:p>
        </w:tc>
      </w:tr>
      <w:tr w:rsidR="00C50B5A" w:rsidTr="00EA5988">
        <w:tc>
          <w:tcPr>
            <w:tcW w:w="10031" w:type="dxa"/>
            <w:gridSpan w:val="3"/>
          </w:tcPr>
          <w:p w:rsidR="00C50B5A" w:rsidRDefault="00C50B5A" w:rsidP="00C50B5A">
            <w:pPr>
              <w:spacing w:line="300" w:lineRule="exact"/>
              <w:jc w:val="center"/>
            </w:pPr>
            <w:r w:rsidRPr="00735489">
              <w:rPr>
                <w:rFonts w:hint="eastAsia"/>
                <w:b/>
                <w:color w:val="FF0000"/>
              </w:rPr>
              <w:t xml:space="preserve">Session </w:t>
            </w:r>
            <w:r>
              <w:rPr>
                <w:rFonts w:hint="eastAsia"/>
                <w:b/>
                <w:color w:val="FF0000"/>
              </w:rPr>
              <w:t>3</w:t>
            </w:r>
            <w:r w:rsidRPr="00735489">
              <w:rPr>
                <w:rFonts w:hint="eastAsia"/>
                <w:b/>
                <w:color w:val="FF0000"/>
              </w:rPr>
              <w:t xml:space="preserve">: </w:t>
            </w:r>
            <w:r>
              <w:rPr>
                <w:rFonts w:hint="eastAsia"/>
                <w:b/>
                <w:color w:val="FF0000"/>
              </w:rPr>
              <w:t>Periprosthetic fracture management</w:t>
            </w:r>
          </w:p>
        </w:tc>
      </w:tr>
      <w:tr w:rsidR="00C50B5A" w:rsidTr="00EA5988">
        <w:tc>
          <w:tcPr>
            <w:tcW w:w="138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1330-1350</w:t>
            </w:r>
          </w:p>
        </w:tc>
        <w:tc>
          <w:tcPr>
            <w:tcW w:w="5103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Current trend for periprosthetic fracture treatment</w:t>
            </w:r>
          </w:p>
        </w:tc>
        <w:tc>
          <w:tcPr>
            <w:tcW w:w="354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危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杰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教授</w:t>
            </w:r>
          </w:p>
        </w:tc>
      </w:tr>
      <w:tr w:rsidR="00C50B5A" w:rsidTr="00EA5988">
        <w:tc>
          <w:tcPr>
            <w:tcW w:w="138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1350-1410</w:t>
            </w:r>
          </w:p>
        </w:tc>
        <w:tc>
          <w:tcPr>
            <w:tcW w:w="5103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Arthroplasty in elderly patients with severe periarticular fractures</w:t>
            </w:r>
          </w:p>
        </w:tc>
        <w:tc>
          <w:tcPr>
            <w:tcW w:w="354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TBD</w:t>
            </w:r>
          </w:p>
        </w:tc>
      </w:tr>
      <w:tr w:rsidR="00C50B5A" w:rsidTr="00EA5988">
        <w:tc>
          <w:tcPr>
            <w:tcW w:w="138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1410-1430</w:t>
            </w:r>
          </w:p>
        </w:tc>
        <w:tc>
          <w:tcPr>
            <w:tcW w:w="5103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Periprosthetic femoral fracture-when and how do I fix it ?</w:t>
            </w:r>
          </w:p>
        </w:tc>
        <w:tc>
          <w:tcPr>
            <w:tcW w:w="354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陳正豐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主任</w:t>
            </w:r>
          </w:p>
        </w:tc>
      </w:tr>
      <w:tr w:rsidR="00C50B5A" w:rsidTr="00EA5988">
        <w:tc>
          <w:tcPr>
            <w:tcW w:w="138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1430-1450</w:t>
            </w:r>
          </w:p>
        </w:tc>
        <w:tc>
          <w:tcPr>
            <w:tcW w:w="5103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Periprosthetic tibial fracture- when and how do I fix it ?</w:t>
            </w:r>
          </w:p>
        </w:tc>
        <w:tc>
          <w:tcPr>
            <w:tcW w:w="354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黃贊文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醫師</w:t>
            </w:r>
          </w:p>
        </w:tc>
      </w:tr>
      <w:tr w:rsidR="00C50B5A" w:rsidTr="00EA5988">
        <w:tc>
          <w:tcPr>
            <w:tcW w:w="138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1450-1510</w:t>
            </w:r>
          </w:p>
        </w:tc>
        <w:tc>
          <w:tcPr>
            <w:tcW w:w="8647" w:type="dxa"/>
            <w:gridSpan w:val="2"/>
          </w:tcPr>
          <w:p w:rsidR="00C50B5A" w:rsidRDefault="00C50B5A" w:rsidP="00C50B5A">
            <w:pPr>
              <w:spacing w:line="300" w:lineRule="exact"/>
              <w:jc w:val="center"/>
            </w:pPr>
            <w:r w:rsidRPr="00735489">
              <w:rPr>
                <w:rFonts w:hint="eastAsia"/>
                <w:b/>
                <w:color w:val="0070C0"/>
              </w:rPr>
              <w:t>Coffee Break</w:t>
            </w:r>
          </w:p>
        </w:tc>
      </w:tr>
      <w:tr w:rsidR="00C50B5A" w:rsidTr="00EA5988">
        <w:tc>
          <w:tcPr>
            <w:tcW w:w="10031" w:type="dxa"/>
            <w:gridSpan w:val="3"/>
          </w:tcPr>
          <w:p w:rsidR="00C50B5A" w:rsidRDefault="00C50B5A" w:rsidP="00C50B5A">
            <w:pPr>
              <w:spacing w:line="300" w:lineRule="exact"/>
              <w:jc w:val="center"/>
            </w:pPr>
            <w:r w:rsidRPr="00735489">
              <w:rPr>
                <w:rFonts w:hint="eastAsia"/>
                <w:b/>
                <w:color w:val="FF0000"/>
              </w:rPr>
              <w:t xml:space="preserve">Session </w:t>
            </w:r>
            <w:r>
              <w:rPr>
                <w:rFonts w:hint="eastAsia"/>
                <w:b/>
                <w:color w:val="FF0000"/>
              </w:rPr>
              <w:t>4</w:t>
            </w:r>
            <w:r w:rsidRPr="00735489">
              <w:rPr>
                <w:rFonts w:hint="eastAsia"/>
                <w:b/>
                <w:color w:val="FF0000"/>
              </w:rPr>
              <w:t xml:space="preserve">: </w:t>
            </w:r>
            <w:r>
              <w:rPr>
                <w:rFonts w:hint="eastAsia"/>
                <w:b/>
                <w:color w:val="FF0000"/>
              </w:rPr>
              <w:t>Pelvic Fractures</w:t>
            </w:r>
          </w:p>
        </w:tc>
      </w:tr>
      <w:tr w:rsidR="00C50B5A" w:rsidTr="00EA5988">
        <w:tc>
          <w:tcPr>
            <w:tcW w:w="138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1510-1530</w:t>
            </w:r>
          </w:p>
        </w:tc>
        <w:tc>
          <w:tcPr>
            <w:tcW w:w="5103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Acute management of pelvic fractures</w:t>
            </w:r>
          </w:p>
        </w:tc>
        <w:tc>
          <w:tcPr>
            <w:tcW w:w="354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蘇宇平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主任</w:t>
            </w:r>
          </w:p>
        </w:tc>
      </w:tr>
      <w:tr w:rsidR="00C50B5A" w:rsidTr="00EA5988">
        <w:tc>
          <w:tcPr>
            <w:tcW w:w="138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1530-1550</w:t>
            </w:r>
          </w:p>
        </w:tc>
        <w:tc>
          <w:tcPr>
            <w:tcW w:w="5103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 xml:space="preserve">Anterior lesions </w:t>
            </w:r>
            <w:r>
              <w:t>–</w:t>
            </w:r>
            <w:r>
              <w:rPr>
                <w:rFonts w:hint="eastAsia"/>
              </w:rPr>
              <w:t xml:space="preserve"> symphysis, pubic body , and rami</w:t>
            </w:r>
          </w:p>
        </w:tc>
        <w:tc>
          <w:tcPr>
            <w:tcW w:w="354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吳柏廷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醫師</w:t>
            </w:r>
          </w:p>
        </w:tc>
      </w:tr>
      <w:tr w:rsidR="00C50B5A" w:rsidTr="00EA5988">
        <w:tc>
          <w:tcPr>
            <w:tcW w:w="138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1550-1610</w:t>
            </w:r>
          </w:p>
        </w:tc>
        <w:tc>
          <w:tcPr>
            <w:tcW w:w="5103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 xml:space="preserve">Posterior lesions </w:t>
            </w:r>
            <w:r>
              <w:t>–</w:t>
            </w:r>
            <w:r>
              <w:rPr>
                <w:rFonts w:hint="eastAsia"/>
              </w:rPr>
              <w:t xml:space="preserve"> anterior or posterior approaches</w:t>
            </w:r>
          </w:p>
        </w:tc>
        <w:tc>
          <w:tcPr>
            <w:tcW w:w="354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游宜勳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醫師</w:t>
            </w:r>
          </w:p>
        </w:tc>
      </w:tr>
      <w:tr w:rsidR="00C50B5A" w:rsidTr="00EA5988">
        <w:tc>
          <w:tcPr>
            <w:tcW w:w="138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1610-1630</w:t>
            </w:r>
          </w:p>
        </w:tc>
        <w:tc>
          <w:tcPr>
            <w:tcW w:w="5103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MIPO in pelvic fractures</w:t>
            </w:r>
          </w:p>
        </w:tc>
        <w:tc>
          <w:tcPr>
            <w:tcW w:w="354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陳崇桓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主任</w:t>
            </w:r>
          </w:p>
        </w:tc>
      </w:tr>
      <w:tr w:rsidR="00C50B5A" w:rsidTr="00EA5988">
        <w:tc>
          <w:tcPr>
            <w:tcW w:w="138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1630-1650</w:t>
            </w:r>
          </w:p>
        </w:tc>
        <w:tc>
          <w:tcPr>
            <w:tcW w:w="5103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Role of virtual simulation and 3D printing technique in pelvic fracture surgery</w:t>
            </w:r>
          </w:p>
        </w:tc>
        <w:tc>
          <w:tcPr>
            <w:tcW w:w="354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葉祖德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主任</w:t>
            </w:r>
          </w:p>
        </w:tc>
      </w:tr>
      <w:tr w:rsidR="00C50B5A" w:rsidTr="00EA5988">
        <w:tc>
          <w:tcPr>
            <w:tcW w:w="138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1650-1700</w:t>
            </w:r>
          </w:p>
        </w:tc>
        <w:tc>
          <w:tcPr>
            <w:tcW w:w="5103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Closing</w:t>
            </w:r>
          </w:p>
        </w:tc>
        <w:tc>
          <w:tcPr>
            <w:tcW w:w="3544" w:type="dxa"/>
          </w:tcPr>
          <w:p w:rsidR="00C50B5A" w:rsidRDefault="00C50B5A" w:rsidP="00C50B5A">
            <w:pPr>
              <w:spacing w:line="300" w:lineRule="exact"/>
            </w:pPr>
            <w:r>
              <w:rPr>
                <w:rFonts w:hint="eastAsia"/>
              </w:rPr>
              <w:t>侯勝茂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院長</w:t>
            </w:r>
          </w:p>
        </w:tc>
      </w:tr>
    </w:tbl>
    <w:p w:rsidR="00735489" w:rsidRDefault="00735489">
      <w:pPr>
        <w:rPr>
          <w:rFonts w:hint="eastAsia"/>
        </w:rPr>
      </w:pPr>
    </w:p>
    <w:p w:rsidR="006B3A89" w:rsidRDefault="006B3A89"/>
    <w:sectPr w:rsidR="006B3A89" w:rsidSect="00A33B40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2DDF" w:rsidRDefault="00FE2DDF" w:rsidP="00FD3BA5">
      <w:r>
        <w:separator/>
      </w:r>
    </w:p>
  </w:endnote>
  <w:endnote w:type="continuationSeparator" w:id="1">
    <w:p w:rsidR="00FE2DDF" w:rsidRDefault="00FE2DDF" w:rsidP="00FD3B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2DDF" w:rsidRDefault="00FE2DDF" w:rsidP="00FD3BA5">
      <w:r>
        <w:separator/>
      </w:r>
    </w:p>
  </w:footnote>
  <w:footnote w:type="continuationSeparator" w:id="1">
    <w:p w:rsidR="00FE2DDF" w:rsidRDefault="00FE2DDF" w:rsidP="00FD3B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5489"/>
    <w:rsid w:val="00024EA5"/>
    <w:rsid w:val="001532D7"/>
    <w:rsid w:val="002460A8"/>
    <w:rsid w:val="0026470B"/>
    <w:rsid w:val="003A52F9"/>
    <w:rsid w:val="00490D6A"/>
    <w:rsid w:val="00495C2A"/>
    <w:rsid w:val="004D3F2F"/>
    <w:rsid w:val="006B3A89"/>
    <w:rsid w:val="00735489"/>
    <w:rsid w:val="00866D5D"/>
    <w:rsid w:val="00883EE0"/>
    <w:rsid w:val="008A50BC"/>
    <w:rsid w:val="00A33B40"/>
    <w:rsid w:val="00A557F6"/>
    <w:rsid w:val="00A81DAC"/>
    <w:rsid w:val="00C2698F"/>
    <w:rsid w:val="00C50B5A"/>
    <w:rsid w:val="00C5167A"/>
    <w:rsid w:val="00D36CFF"/>
    <w:rsid w:val="00E17E0B"/>
    <w:rsid w:val="00EA5988"/>
    <w:rsid w:val="00F71509"/>
    <w:rsid w:val="00FD3BA5"/>
    <w:rsid w:val="00FE2D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0B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54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FD3B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semiHidden/>
    <w:rsid w:val="00FD3BA5"/>
    <w:rPr>
      <w:sz w:val="20"/>
      <w:szCs w:val="20"/>
    </w:rPr>
  </w:style>
  <w:style w:type="paragraph" w:styleId="a6">
    <w:name w:val="footer"/>
    <w:basedOn w:val="a"/>
    <w:link w:val="a7"/>
    <w:uiPriority w:val="99"/>
    <w:semiHidden/>
    <w:unhideWhenUsed/>
    <w:rsid w:val="00FD3B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semiHidden/>
    <w:rsid w:val="00FD3BA5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192E57-0D5D-454D-8535-618401161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251</Words>
  <Characters>1431</Characters>
  <Application>Microsoft Office Word</Application>
  <DocSecurity>0</DocSecurity>
  <Lines>11</Lines>
  <Paragraphs>3</Paragraphs>
  <ScaleCrop>false</ScaleCrop>
  <Company>Your Company Name</Company>
  <LinksUpToDate>false</LinksUpToDate>
  <CharactersWithSpaces>1679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7</cp:revision>
  <dcterms:created xsi:type="dcterms:W3CDTF">2018-06-08T06:26:00Z</dcterms:created>
  <dcterms:modified xsi:type="dcterms:W3CDTF">2018-06-11T04:04:00Z</dcterms:modified>
</cp:coreProperties>
</file>